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72018D" w:rsidRPr="00B772EE" w:rsidRDefault="0072018D" w:rsidP="00DE69ED">
      <w:pPr>
        <w:pStyle w:val="3-NormalYaz0"/>
        <w:tabs>
          <w:tab w:val="clear" w:pos="566"/>
          <w:tab w:val="left" w:pos="709"/>
        </w:tabs>
        <w:ind w:firstLine="709"/>
        <w:rPr>
          <w:b/>
          <w:szCs w:val="24"/>
        </w:rPr>
      </w:pPr>
    </w:p>
    <w:p w:rsidR="00B772EE" w:rsidRPr="00B772EE" w:rsidRDefault="00B772EE" w:rsidP="00DE69ED">
      <w:pPr>
        <w:pStyle w:val="3-NormalYaz0"/>
        <w:tabs>
          <w:tab w:val="clear" w:pos="566"/>
          <w:tab w:val="left" w:pos="709"/>
        </w:tabs>
        <w:ind w:firstLine="709"/>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md.,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 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 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 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w:t>
      </w:r>
      <w:r w:rsidRPr="00B772EE">
        <w:rPr>
          <w:szCs w:val="24"/>
        </w:rPr>
        <w:lastRenderedPageBreak/>
        <w:t xml:space="preserve">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00DE634A" w:rsidRPr="00B772EE">
        <w:rPr>
          <w:b/>
          <w:szCs w:val="24"/>
        </w:rPr>
        <w:t>;</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r w:rsidR="003A5BA8" w:rsidRPr="00B772EE">
        <w:rPr>
          <w:b/>
          <w:szCs w:val="24"/>
        </w:rPr>
        <w:t>;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(Ek: 20/8/2011-28031 R.G./ 6 md.)</w:t>
      </w:r>
      <w:r w:rsidRPr="00B772EE">
        <w:rPr>
          <w:szCs w:val="24"/>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Pr="00B772EE">
        <w:rPr>
          <w:szCs w:val="24"/>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13.1.1.4.</w:t>
      </w:r>
      <w:r w:rsidRPr="00B772EE">
        <w:rPr>
          <w:szCs w:val="24"/>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w:t>
      </w:r>
      <w:r w:rsidRPr="00B772EE">
        <w:rPr>
          <w:szCs w:val="24"/>
        </w:rPr>
        <w:lastRenderedPageBreak/>
        <w:t>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 xml:space="preserve">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w:t>
      </w:r>
      <w:r w:rsidRPr="00B772EE">
        <w:rPr>
          <w:szCs w:val="24"/>
        </w:rPr>
        <w:lastRenderedPageBreak/>
        <w:t>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w:t>
      </w:r>
      <w:r w:rsidR="00510329" w:rsidRPr="00B772EE">
        <w:rPr>
          <w:szCs w:val="24"/>
        </w:rPr>
        <w:lastRenderedPageBreak/>
        <w:t>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w:t>
      </w:r>
      <w:r w:rsidRPr="00B772EE">
        <w:rPr>
          <w:szCs w:val="24"/>
        </w:rPr>
        <w:lastRenderedPageBreak/>
        <w:t xml:space="preserve">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 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w:t>
      </w:r>
      <w:r w:rsidR="00D7191B" w:rsidRPr="00B772EE">
        <w:rPr>
          <w:szCs w:val="24"/>
        </w:rPr>
        <w:lastRenderedPageBreak/>
        <w:t>(e)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imkan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dahilinde bulunan idarelerin onbeş milyar </w:t>
      </w:r>
      <w:r w:rsidRPr="00B772EE">
        <w:rPr>
          <w:szCs w:val="24"/>
        </w:rPr>
        <w:t>(</w:t>
      </w:r>
      <w:r w:rsidR="00F67E17" w:rsidRPr="00B772EE">
        <w:rPr>
          <w:szCs w:val="24"/>
        </w:rPr>
        <w:t>Yüzyirmibirbindörtyüzbeş 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lastRenderedPageBreak/>
        <w:t>(</w:t>
      </w:r>
      <w:r w:rsidR="00F67E17" w:rsidRPr="00B772EE">
        <w:rPr>
          <w:szCs w:val="24"/>
        </w:rPr>
        <w:t>Kırkbindörtyüzkırküç</w:t>
      </w:r>
      <w:r w:rsidRPr="00B772EE">
        <w:rPr>
          <w:szCs w:val="24"/>
        </w:rPr>
        <w:t xml:space="preserve"> Türk Lirasını</w:t>
      </w:r>
      <w:r w:rsidRPr="00B772EE">
        <w:rPr>
          <w:bCs/>
          <w:szCs w:val="24"/>
        </w:rPr>
        <w:t>)</w:t>
      </w:r>
      <w:r w:rsidR="004C3C23" w:rsidRPr="00B772EE">
        <w:rPr>
          <w:bCs/>
          <w:szCs w:val="24"/>
          <w:vertAlign w:val="superscript"/>
        </w:rPr>
        <w:t>*</w:t>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 xml:space="preserve">Ancak doğrudan temin </w:t>
      </w:r>
      <w:r w:rsidR="007F4C89" w:rsidRPr="00B772EE">
        <w:rPr>
          <w:szCs w:val="24"/>
        </w:rPr>
        <w:lastRenderedPageBreak/>
        <w:t>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22.1.1.5</w:t>
      </w:r>
      <w:r w:rsidRPr="00B772EE">
        <w:rPr>
          <w:szCs w:val="24"/>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 xml:space="preserve">4734 sayılı Kanunun 22 nci maddesinin (c) bendi uyarınca, mevcut mal, ekipman, teknoloji veya hizmetlerle uyumun ve standardizasyonun sağlanması için zorunlu olan mal ve hizmetlerin, asıl sözleşmeye dayalı olarak düzenlenecek ve toplam süreleri üç yılı </w:t>
      </w:r>
      <w:r w:rsidRPr="00B772EE">
        <w:rPr>
          <w:szCs w:val="24"/>
        </w:rPr>
        <w:lastRenderedPageBreak/>
        <w:t>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r w:rsidRPr="00B772EE">
        <w:rPr>
          <w:b/>
          <w:szCs w:val="24"/>
        </w:rPr>
        <w:t>22.6.1.1 </w:t>
      </w:r>
      <w:r w:rsidRPr="00B772EE">
        <w:rPr>
          <w:szCs w:val="24"/>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3" w:name="_Toc52958521"/>
      <w:r w:rsidRPr="00B772EE">
        <w:lastRenderedPageBreak/>
        <w:t>22.7. İlaç, tıbbi sarf malzemeleri ile test ve tetkik sarf malzemesi alımları</w:t>
      </w:r>
      <w:bookmarkEnd w:id="3"/>
    </w:p>
    <w:p w:rsidR="0072018D" w:rsidRPr="00B772EE" w:rsidRDefault="0072018D" w:rsidP="00DE69ED">
      <w:pPr>
        <w:pStyle w:val="3-NormalYaz0"/>
        <w:tabs>
          <w:tab w:val="clear" w:pos="566"/>
          <w:tab w:val="left" w:pos="709"/>
        </w:tabs>
        <w:ind w:firstLine="709"/>
        <w:rPr>
          <w:szCs w:val="24"/>
        </w:rPr>
      </w:pPr>
      <w:r w:rsidRPr="00B772EE">
        <w:rPr>
          <w:szCs w:val="24"/>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r w:rsidRPr="00B772EE">
        <w:rPr>
          <w:szCs w:val="24"/>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lastRenderedPageBreak/>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lastRenderedPageBreak/>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w:t>
      </w:r>
      <w:r w:rsidRPr="00B772EE">
        <w:rPr>
          <w:szCs w:val="24"/>
        </w:rPr>
        <w:lastRenderedPageBreak/>
        <w:t>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2) Alıma konu bazı mal kalemi veya kalemlerinde bu kalemlerin her birinin tutarının %20’sinden çok olmamak üzere iş eksilişi yapılmış olması ve sözleşme tutarının da aşılmaması </w:t>
      </w:r>
      <w:r w:rsidRPr="00B772EE">
        <w:rPr>
          <w:szCs w:val="24"/>
        </w:rPr>
        <w:lastRenderedPageBreak/>
        <w:t>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xml:space="preserve"> Kurumun görevlerini etkin ve sağlıklı bir şekilde yerine getirebilmesi ve sözleşme devir hallerinin tespit edilerek idarelere bu konuda gerektiğinde bilgi verilmesi </w:t>
      </w:r>
      <w:r w:rsidRPr="00B772EE">
        <w:rPr>
          <w:szCs w:val="24"/>
        </w:rPr>
        <w:lastRenderedPageBreak/>
        <w:t>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 xml:space="preserve">bunlara bağlı </w:t>
      </w:r>
      <w:r w:rsidR="0059096C" w:rsidRPr="00B772EE">
        <w:rPr>
          <w:szCs w:val="24"/>
        </w:rPr>
        <w:lastRenderedPageBreak/>
        <w:t>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lastRenderedPageBreak/>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w:t>
      </w:r>
      <w:r w:rsidRPr="00B772EE">
        <w:rPr>
          <w:szCs w:val="24"/>
        </w:rPr>
        <w:lastRenderedPageBreak/>
        <w:t xml:space="preserve">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w:t>
      </w:r>
      <w:r w:rsidRPr="00B772EE">
        <w:rPr>
          <w:szCs w:val="24"/>
        </w:rPr>
        <w:lastRenderedPageBreak/>
        <w:t xml:space="preserve">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w:t>
      </w:r>
      <w:r w:rsidRPr="00B772EE">
        <w:rPr>
          <w:szCs w:val="24"/>
        </w:rPr>
        <w:lastRenderedPageBreak/>
        <w:t>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w:t>
      </w:r>
      <w:r w:rsidRPr="00B772EE">
        <w:rPr>
          <w:szCs w:val="24"/>
        </w:rPr>
        <w:lastRenderedPageBreak/>
        <w:t xml:space="preserve">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lastRenderedPageBreak/>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w:t>
      </w:r>
      <w:r w:rsidRPr="00B772EE">
        <w:rPr>
          <w:szCs w:val="24"/>
        </w:rPr>
        <w:lastRenderedPageBreak/>
        <w:t xml:space="preserve">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w:t>
      </w:r>
      <w:r w:rsidRPr="00B772EE">
        <w:rPr>
          <w:szCs w:val="24"/>
        </w:rPr>
        <w:lastRenderedPageBreak/>
        <w:t>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w:t>
      </w:r>
      <w:r w:rsidRPr="00B772EE">
        <w:rPr>
          <w:szCs w:val="24"/>
        </w:rPr>
        <w:lastRenderedPageBreak/>
        <w:t>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w:t>
      </w:r>
      <w:r w:rsidRPr="00B772EE">
        <w:rPr>
          <w:szCs w:val="24"/>
        </w:rPr>
        <w:lastRenderedPageBreak/>
        <w:t xml:space="preserve">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r w:rsidR="0075543F" w:rsidRPr="00726CAD">
        <w:rPr>
          <w:b/>
          <w:szCs w:val="24"/>
        </w:rPr>
        <w:t>(Ek cümle: 20/06/2021-31517 R.G./4. md.,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xml:space="preserve"> kayıtlardan temin edildiği hallerde, bu bilgilerin güncel olmadığının anlaşılması durumunda teklifler değerlendirme dışı bırakılır. Ayrıca ticaret sicilinde kayıtlı </w:t>
      </w:r>
      <w:r w:rsidR="0075543F" w:rsidRPr="00726CAD">
        <w:rPr>
          <w:szCs w:val="24"/>
        </w:rPr>
        <w:lastRenderedPageBreak/>
        <w:t>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w:t>
      </w:r>
      <w:r w:rsidR="0063632D" w:rsidRPr="00B772EE">
        <w:rPr>
          <w:szCs w:val="24"/>
        </w:rPr>
        <w:lastRenderedPageBreak/>
        <w:t xml:space="preserve">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w:t>
      </w:r>
      <w:r w:rsidRPr="00B772EE">
        <w:rPr>
          <w:szCs w:val="24"/>
        </w:rPr>
        <w:lastRenderedPageBreak/>
        <w:t>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w:t>
      </w:r>
      <w:r w:rsidRPr="00B772EE">
        <w:rPr>
          <w:iCs/>
          <w:szCs w:val="24"/>
        </w:rPr>
        <w:lastRenderedPageBreak/>
        <w:t>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w:t>
      </w:r>
      <w:r w:rsidRPr="00B772EE">
        <w:rPr>
          <w:szCs w:val="24"/>
        </w:rPr>
        <w:lastRenderedPageBreak/>
        <w:t>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(Mülga: 20/8/2011-28031 R.G./ 13 md.)</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w:t>
      </w:r>
      <w:r w:rsidRPr="00B772EE">
        <w:rPr>
          <w:szCs w:val="24"/>
        </w:rPr>
        <w:lastRenderedPageBreak/>
        <w:t>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 xml:space="preserve">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w:t>
      </w:r>
      <w:r w:rsidRPr="00B772EE">
        <w:rPr>
          <w:iCs/>
          <w:szCs w:val="24"/>
        </w:rPr>
        <w:lastRenderedPageBreak/>
        <w:t>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aralığında geçerli teklif bulunmaması durumunda; sınır değer yaklaşık maliyetin % 40’ıdır. (45.1.1.) maddesine göre </w:t>
      </w:r>
      <w:r w:rsidRPr="00B772EE">
        <w:rPr>
          <w:szCs w:val="24"/>
        </w:rPr>
        <w:lastRenderedPageBreak/>
        <w:t>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lastRenderedPageBreak/>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lastRenderedPageBreak/>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sunacaklardır.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w:t>
      </w:r>
      <w:r w:rsidRPr="00B772EE">
        <w:rPr>
          <w:szCs w:val="24"/>
        </w:rPr>
        <w:lastRenderedPageBreak/>
        <w:t xml:space="preserve">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lastRenderedPageBreak/>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w:t>
      </w:r>
      <w:r w:rsidRPr="00B772EE">
        <w:rPr>
          <w:szCs w:val="24"/>
        </w:rPr>
        <w:lastRenderedPageBreak/>
        <w:t xml:space="preserve">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Mala ilişkin fiyat teklifi verilebilmesi için ayrıca fiyat teklifini veren kişi tarafından son veya bir önceki geçici vergi beyanname döneminde ihale konusu işte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döneminde ihale konusu işte 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B772EE"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ve son veya bir önceki geçici vergi beyanname döneminde ihale konusu işte kullanılmasını öngördüğü fiyat teklifi konusu mal miktarının en az 1/20’si kadar satış yapılmış olması</w:t>
      </w:r>
      <w:r w:rsidR="002A7D84" w:rsidRPr="00B772EE">
        <w:rPr>
          <w:szCs w:val="24"/>
        </w:rPr>
        <w:t xml:space="preserve"> </w:t>
      </w:r>
      <w:r w:rsidRPr="00B772EE">
        <w:rPr>
          <w:szCs w:val="24"/>
        </w:rPr>
        <w:t xml:space="preserve">gerekir. </w:t>
      </w:r>
      <w:bookmarkStart w:id="6" w:name="_Hlk52390004"/>
      <w:r w:rsidR="002A7D84" w:rsidRPr="00B772EE">
        <w:rPr>
          <w:szCs w:val="24"/>
        </w:rPr>
        <w:t xml:space="preserve">(Ek cümle: </w:t>
      </w:r>
      <w:r w:rsidR="00947356" w:rsidRPr="00B772EE">
        <w:rPr>
          <w:szCs w:val="24"/>
        </w:rPr>
        <w:t>30/09/2020</w:t>
      </w:r>
      <w:r w:rsidR="00374AFE" w:rsidRPr="00B772EE">
        <w:rPr>
          <w:szCs w:val="24"/>
        </w:rPr>
        <w:t>-</w:t>
      </w:r>
      <w:r w:rsidR="009F66AF" w:rsidRPr="00B772EE">
        <w:rPr>
          <w:szCs w:val="24"/>
        </w:rPr>
        <w:t>31260 R.G./12. md.</w:t>
      </w:r>
      <w:r w:rsidR="002A7D84" w:rsidRPr="00B772EE">
        <w:rPr>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lastRenderedPageBreak/>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lastRenderedPageBreak/>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xml:space="preserve">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w:t>
      </w:r>
      <w:r w:rsidRPr="00B772EE">
        <w:rPr>
          <w:szCs w:val="24"/>
        </w:rPr>
        <w:lastRenderedPageBreak/>
        <w:t>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lastRenderedPageBreak/>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lastRenderedPageBreak/>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w:t>
      </w:r>
      <w:r w:rsidRPr="00B772EE">
        <w:rPr>
          <w:szCs w:val="24"/>
        </w:rPr>
        <w:lastRenderedPageBreak/>
        <w:t>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
    <w:p w:rsidR="0072018D" w:rsidRPr="00B772EE" w:rsidRDefault="0072018D" w:rsidP="00DE69ED">
      <w:pPr>
        <w:pStyle w:val="3-NormalYaz0"/>
        <w:tabs>
          <w:tab w:val="clear" w:pos="566"/>
          <w:tab w:val="left" w:pos="709"/>
        </w:tabs>
        <w:ind w:firstLine="709"/>
        <w:rPr>
          <w:szCs w:val="24"/>
        </w:rPr>
      </w:pPr>
      <w:bookmarkStart w:id="17"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w:t>
      </w:r>
      <w:r w:rsidRPr="00B772EE">
        <w:rPr>
          <w:szCs w:val="24"/>
        </w:rPr>
        <w:lastRenderedPageBreak/>
        <w:t>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xml:space="preserve"> İdareler tarafından alım konusu mala ilişkin olarak düzenlenmesi mümkün olmayan standarda ilişkin belgelerin istenilmemesi gerekmektedir. İdareler tarafından </w:t>
      </w:r>
      <w:r w:rsidRPr="00B772EE">
        <w:rPr>
          <w:szCs w:val="24"/>
        </w:rPr>
        <w:lastRenderedPageBreak/>
        <w:t>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5"/>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w:t>
      </w:r>
      <w:r w:rsidRPr="00B772EE">
        <w:rPr>
          <w:szCs w:val="24"/>
        </w:rPr>
        <w:lastRenderedPageBreak/>
        <w:t xml:space="preserve">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57-Tedarik edilecek malların numuneleri, katalogları, fotoğrafları ile teknik şartnameye cevapları ve açıklamaları içeren doküman</w:t>
      </w:r>
      <w:bookmarkEnd w:id="28"/>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29"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29"/>
    </w:p>
    <w:p w:rsidR="0072018D" w:rsidRPr="00B772EE" w:rsidRDefault="0072018D" w:rsidP="00DE69ED">
      <w:pPr>
        <w:pStyle w:val="3-NormalYaz0"/>
        <w:tabs>
          <w:tab w:val="clear" w:pos="566"/>
          <w:tab w:val="left" w:pos="709"/>
        </w:tabs>
        <w:ind w:firstLine="709"/>
        <w:rPr>
          <w:szCs w:val="24"/>
        </w:rPr>
      </w:pPr>
      <w:bookmarkStart w:id="30" w:name="_Toc52958592"/>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0"/>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e) Alım konusu malın gıda veya gıda ile temas eden madde ve malzeme olması durumunda gıda ve gıda ile temas eden madde ve malzemelerin üretimini düzenleyen mevzuat çerçevesinde aday veya istekli adına düzenlenmiş ve alım konusu mal veya malların faaliyet </w:t>
      </w:r>
      <w:r w:rsidRPr="00B772EE">
        <w:rPr>
          <w:szCs w:val="24"/>
        </w:rPr>
        <w:lastRenderedPageBreak/>
        <w:t>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1" w:name="_Toc52958598"/>
      <w:r w:rsidRPr="00B772EE">
        <w:rPr>
          <w:b/>
          <w:szCs w:val="24"/>
        </w:rPr>
        <w:t>62.1. </w:t>
      </w:r>
      <w:r w:rsidRPr="00B772EE">
        <w:rPr>
          <w:szCs w:val="24"/>
        </w:rPr>
        <w:t>Birden fazla mal kaleminden oluşan ihaleler, birim fiyat teklif almak suretiyle gerçekleştirilecektir.</w:t>
      </w:r>
      <w:bookmarkEnd w:id="31"/>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2"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2"/>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3" w:name="_Toc52958601"/>
      <w:r w:rsidRPr="00DC063D">
        <w:rPr>
          <w:b/>
          <w:szCs w:val="24"/>
        </w:rPr>
        <w:t>62/A.1.</w:t>
      </w:r>
      <w:r w:rsidRPr="00DC063D">
        <w:rPr>
          <w:szCs w:val="24"/>
        </w:rPr>
        <w:t xml:space="preserve"> </w:t>
      </w:r>
      <w:r w:rsidR="001C4416">
        <w:rPr>
          <w:b/>
          <w:szCs w:val="24"/>
        </w:rPr>
        <w:t>(Değişik ibare: 30/11/202</w:t>
      </w:r>
      <w:bookmarkStart w:id="34" w:name="_GoBack"/>
      <w:bookmarkEnd w:id="34"/>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3"/>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w:t>
      </w:r>
      <w:r w:rsidRPr="00B772EE">
        <w:rPr>
          <w:szCs w:val="24"/>
        </w:rPr>
        <w:lastRenderedPageBreak/>
        <w:t xml:space="preserve">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w:t>
      </w:r>
      <w:r w:rsidRPr="00B772EE">
        <w:rPr>
          <w:szCs w:val="24"/>
        </w:rPr>
        <w:lastRenderedPageBreak/>
        <w:t>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 xml:space="preserve">ortağına ait iş deneyim belgesi kullanılmış ise bu ortağının, ilan veya davet tarihinden geriye doğru son iki yıl içinde </w:t>
      </w:r>
      <w:r w:rsidRPr="00B772EE">
        <w:rPr>
          <w:szCs w:val="24"/>
        </w:rPr>
        <w:lastRenderedPageBreak/>
        <w:t>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lastRenderedPageBreak/>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w:t>
      </w:r>
      <w:r w:rsidRPr="00B772EE">
        <w:rPr>
          <w:szCs w:val="24"/>
        </w:rPr>
        <w:lastRenderedPageBreak/>
        <w:t>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w:t>
      </w:r>
      <w:r w:rsidRPr="00B772EE">
        <w:rPr>
          <w:szCs w:val="24"/>
        </w:rPr>
        <w:lastRenderedPageBreak/>
        <w:t>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md., yürürlük: 05/07/2021) </w:t>
      </w:r>
      <w:r w:rsidRPr="00A86260">
        <w:rPr>
          <w:szCs w:val="24"/>
        </w:rPr>
        <w:t xml:space="preserve">Tip idari şartnamelerin “Teklif fiyata dahil olan giderler” maddesinde </w:t>
      </w:r>
      <w:r w:rsidRPr="00A86260">
        <w:rPr>
          <w:i/>
          <w:szCs w:val="24"/>
        </w:rPr>
        <w:t>“</w:t>
      </w:r>
      <w:r w:rsidRPr="00A86260">
        <w:rPr>
          <w:szCs w:val="24"/>
        </w:rPr>
        <w:t>Sözleşmenin uygulanması sırasında, ilgili mevzuat gereğince ödenecek … sigorta … teklif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lastRenderedPageBreak/>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r w:rsidR="002500BD" w:rsidRPr="00654D8A">
        <w:rPr>
          <w:b/>
          <w:szCs w:val="24"/>
        </w:rPr>
        <w:t>,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 xml:space="preserve">teklifler ile aşırı düşük </w:t>
      </w:r>
      <w:r w:rsidRPr="00B772EE">
        <w:rPr>
          <w:szCs w:val="24"/>
        </w:rPr>
        <w:lastRenderedPageBreak/>
        <w:t>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 xml:space="preserve">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w:t>
      </w:r>
      <w:r w:rsidR="00F726FC" w:rsidRPr="00B772EE">
        <w:rPr>
          <w:rFonts w:eastAsia="ヒラギノ明朝 Pro W3"/>
          <w:szCs w:val="24"/>
        </w:rPr>
        <w:lastRenderedPageBreak/>
        <w:t>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t>78.28. (Ek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lastRenderedPageBreak/>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md.,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(Değişik madde: 25/01/2017-29959 R.G./10. md.</w:t>
      </w:r>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lastRenderedPageBreak/>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lastRenderedPageBreak/>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r w:rsidR="007264E3" w:rsidRPr="00B772EE">
        <w:rPr>
          <w:szCs w:val="24"/>
        </w:rPr>
        <w:t>;</w:t>
      </w:r>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 xml:space="preserve">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w:t>
      </w:r>
      <w:r w:rsidRPr="00B772EE">
        <w:rPr>
          <w:szCs w:val="24"/>
        </w:rPr>
        <w:lastRenderedPageBreak/>
        <w:t>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(Değişik cümle: 25/01/2017-29959 R.G./13. md.)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lastRenderedPageBreak/>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md.;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Örneğin; </w:t>
      </w:r>
      <w:r w:rsidR="006C4A97" w:rsidRPr="00B772EE">
        <w:rPr>
          <w:szCs w:val="24"/>
        </w:rPr>
        <w:lastRenderedPageBreak/>
        <w:t>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maddeler 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B772EE" w:rsidRDefault="00574D4F" w:rsidP="00DE69ED">
      <w:pPr>
        <w:pStyle w:val="3-NormalYaz0"/>
        <w:tabs>
          <w:tab w:val="clear" w:pos="566"/>
          <w:tab w:val="left" w:pos="709"/>
        </w:tabs>
        <w:ind w:firstLine="709"/>
        <w:rPr>
          <w:szCs w:val="24"/>
        </w:rPr>
      </w:pPr>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w:t>
      </w:r>
      <w:r w:rsidR="00C70C8D" w:rsidRPr="00B772EE">
        <w:rPr>
          <w:szCs w:val="24"/>
        </w:rPr>
        <w:lastRenderedPageBreak/>
        <w:t>ihale edilerek veya Kanun ve bu Tebliğ hükümleri uyarınca doğrudan temin yöntemine</w:t>
      </w:r>
      <w:r w:rsidRPr="00B772EE">
        <w:rPr>
          <w:szCs w:val="24"/>
        </w:rPr>
        <w:t xml:space="preserve"> başvurularak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lastRenderedPageBreak/>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 xml:space="preserve">Alt yüklenicilere iş deneyim belgesi düzenlenebilmesi için, deneyime konu işe ilişkin olarak ihale dokümanında alt yüklenici </w:t>
      </w:r>
      <w:r w:rsidRPr="00B772EE">
        <w:rPr>
          <w:iCs/>
          <w:szCs w:val="24"/>
        </w:rPr>
        <w:lastRenderedPageBreak/>
        <w:t>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lastRenderedPageBreak/>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w:t>
      </w:r>
      <w:r w:rsidRPr="00B772EE">
        <w:rPr>
          <w:szCs w:val="24"/>
        </w:rPr>
        <w:lastRenderedPageBreak/>
        <w:t>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 xml:space="preserve">Çerçeve anlaşma kapsamında gerçekleştirilen münferit alımlarda isteklilerin son teklif verme tarihi itibarıyla ihalelere </w:t>
      </w:r>
      <w:r w:rsidRPr="00B772EE">
        <w:rPr>
          <w:rFonts w:eastAsia="ヒラギノ明朝 Pro W3"/>
          <w:szCs w:val="24"/>
        </w:rPr>
        <w:lastRenderedPageBreak/>
        <w:t>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 xml:space="preserve">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w:t>
      </w:r>
      <w:r w:rsidRPr="00B772EE">
        <w:rPr>
          <w:rFonts w:eastAsia="ヒラギノ明朝 Pro W3"/>
          <w:szCs w:val="24"/>
        </w:rPr>
        <w:lastRenderedPageBreak/>
        <w:t>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lastRenderedPageBreak/>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w:t>
      </w:r>
      <w:r w:rsidR="00AC1857" w:rsidRPr="00B772EE">
        <w:rPr>
          <w:szCs w:val="24"/>
        </w:rPr>
        <w:lastRenderedPageBreak/>
        <w:t>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lastRenderedPageBreak/>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1D7348" w:rsidRPr="00B772EE">
        <w:t>07/06/2014-29023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8E0595" w:rsidP="000B2C24">
      <w:pPr>
        <w:pStyle w:val="Balk1"/>
        <w:ind w:firstLine="708"/>
      </w:pPr>
      <w:r w:rsidRPr="00B772EE">
        <w:t>(Ek: 16/08/2014-29090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8302C0" w:rsidRPr="00B772EE">
        <w:t>12/06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8738AF" w:rsidP="000B2C24">
      <w:pPr>
        <w:pStyle w:val="Balk1"/>
        <w:ind w:firstLine="708"/>
        <w:rPr>
          <w:rFonts w:eastAsia="ヒラギノ明朝 Pro W3"/>
        </w:rPr>
      </w:pPr>
      <w:r w:rsidRPr="00B772EE">
        <w:rPr>
          <w:rFonts w:eastAsia="ヒラギノ明朝 Pro W3"/>
        </w:rPr>
        <w:lastRenderedPageBreak/>
        <w:t>(Ek: 25/01/2017-29959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04/03/2017-29997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5775CB" w:rsidRPr="00B772EE">
        <w:t>Ek madde: 29/06/2017-30109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0855E0" w:rsidP="000B2C24">
      <w:pPr>
        <w:pStyle w:val="Balk1"/>
        <w:ind w:firstLine="708"/>
      </w:pPr>
      <w:r w:rsidRPr="00B772EE">
        <w:t>(Ek madde: 06.02.2018-30324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474C52" w:rsidP="000B2C24">
      <w:pPr>
        <w:pStyle w:val="Balk1"/>
        <w:ind w:firstLine="708"/>
      </w:pPr>
      <w:r w:rsidRPr="00B772EE">
        <w:t>(Ek madde: 16.03.2019-30716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Pr="00B772EE">
        <w:rPr>
          <w:rFonts w:eastAsia="Calibri"/>
        </w:rPr>
        <w:t>13.06.2019-30800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Pr="00B772EE">
        <w:rPr>
          <w:rFonts w:eastAsia="Calibri"/>
        </w:rPr>
        <w:t>23.06.2019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2376A" w:rsidP="000B2C24">
      <w:pPr>
        <w:pStyle w:val="Balk1"/>
        <w:ind w:firstLine="708"/>
      </w:pPr>
      <w:r w:rsidRPr="00B772EE">
        <w:lastRenderedPageBreak/>
        <w:t>(Ek madde: 08.08.2019-30856 R.G./6. md., yürürlük: 18.08.2019)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87094B" w:rsidP="000B2C24">
      <w:pPr>
        <w:pStyle w:val="Balk1"/>
        <w:ind w:firstLine="708"/>
        <w:rPr>
          <w:rFonts w:eastAsia="Calibri"/>
        </w:rPr>
      </w:pPr>
      <w:r w:rsidRPr="00B772EE">
        <w:rPr>
          <w:rFonts w:eastAsia="Calibri"/>
        </w:rPr>
        <w:t>(Ek madde: 13.09.2019-30887  R.G./3. md., yürürlük:23.09.2019)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947356" w:rsidRPr="00B772EE">
        <w:rPr>
          <w:rFonts w:eastAsia="Calibri"/>
        </w:rPr>
        <w:t>30/09/2020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4A4742" w:rsidRPr="000B2C24">
        <w:rPr>
          <w:rFonts w:eastAsia="Calibri"/>
        </w:rPr>
        <w:t>26/01/2021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0469EE" w:rsidRPr="000469EE">
        <w:rPr>
          <w:b/>
          <w:bCs/>
        </w:rPr>
        <w:t>20/06/2021-31517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Pr="00B772EE" w:rsidRDefault="00D0254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08/08/2019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30/09/2020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26/01/2021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szCs w:val="24"/>
              </w:rPr>
            </w:pPr>
            <w:r w:rsidRPr="000469EE">
              <w:rPr>
                <w:szCs w:val="24"/>
              </w:rPr>
              <w:t>20/06/2021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8DB" w:rsidRDefault="002238DB" w:rsidP="0072018D">
      <w:r>
        <w:separator/>
      </w:r>
    </w:p>
  </w:endnote>
  <w:endnote w:type="continuationSeparator" w:id="0">
    <w:p w:rsidR="002238DB" w:rsidRDefault="002238DB"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B91C52" w:rsidRDefault="00B91C52">
        <w:pPr>
          <w:pStyle w:val="AltBilgi"/>
          <w:jc w:val="right"/>
        </w:pPr>
        <w:r>
          <w:fldChar w:fldCharType="begin"/>
        </w:r>
        <w:r>
          <w:instrText>PAGE   \* MERGEFORMAT</w:instrText>
        </w:r>
        <w:r>
          <w:fldChar w:fldCharType="separate"/>
        </w:r>
        <w:r w:rsidR="001C4416">
          <w:rPr>
            <w:noProof/>
          </w:rPr>
          <w:t>101</w:t>
        </w:r>
        <w:r>
          <w:fldChar w:fldCharType="end"/>
        </w:r>
      </w:p>
    </w:sdtContent>
  </w:sdt>
  <w:p w:rsidR="00B91C52" w:rsidRDefault="00B91C52">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B91C52" w:rsidRDefault="00B91C52" w:rsidP="005F4800">
        <w:pPr>
          <w:pStyle w:val="AltBilgi"/>
          <w:jc w:val="center"/>
        </w:pPr>
        <w:r>
          <w:fldChar w:fldCharType="begin"/>
        </w:r>
        <w:r>
          <w:instrText>PAGE   \* MERGEFORMAT</w:instrText>
        </w:r>
        <w:r>
          <w:fldChar w:fldCharType="separate"/>
        </w:r>
        <w:r w:rsidR="001C4416">
          <w:rPr>
            <w:noProof/>
          </w:rPr>
          <w:t>135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8DB" w:rsidRDefault="002238DB" w:rsidP="0072018D">
      <w:r>
        <w:separator/>
      </w:r>
    </w:p>
  </w:footnote>
  <w:footnote w:type="continuationSeparator" w:id="0">
    <w:p w:rsidR="002238DB" w:rsidRDefault="002238DB" w:rsidP="0072018D">
      <w:r>
        <w:continuationSeparator/>
      </w:r>
    </w:p>
  </w:footnote>
  <w:footnote w:id="1">
    <w:p w:rsidR="00B91C52" w:rsidRPr="00DE40DC" w:rsidRDefault="00B91C52">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B91C52" w:rsidRPr="00DE40DC" w:rsidRDefault="00B91C52">
      <w:pPr>
        <w:pStyle w:val="DipnotMetni"/>
        <w:rPr>
          <w:sz w:val="18"/>
        </w:rPr>
      </w:pPr>
    </w:p>
    <w:p w:rsidR="00B91C52" w:rsidRPr="00DE40DC" w:rsidRDefault="00B91C52"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B91C52" w:rsidRDefault="00B91C52">
      <w:pPr>
        <w:pStyle w:val="DipnotMetni"/>
      </w:pPr>
    </w:p>
  </w:footnote>
  <w:footnote w:id="2">
    <w:p w:rsidR="00B91C52" w:rsidRDefault="00B91C52" w:rsidP="007D6E98">
      <w:pPr>
        <w:pStyle w:val="DipnotMetni"/>
        <w:jc w:val="both"/>
      </w:pPr>
      <w:r>
        <w:rPr>
          <w:rStyle w:val="DipnotBavurusu"/>
        </w:rPr>
        <w:footnoteRef/>
      </w:r>
      <w:r>
        <w:t xml:space="preserve"> </w:t>
      </w:r>
      <w:r w:rsidRPr="007D6E98">
        <w:t xml:space="preserve">26/01/2021 tarihli ve </w:t>
      </w:r>
      <w:r w:rsidRPr="007D6E98">
        <w:rPr>
          <w:rStyle w:val="grame"/>
        </w:rPr>
        <w:t>31376</w:t>
      </w:r>
      <w:r w:rsidRPr="007D6E98">
        <w:t xml:space="preserve"> sayılı Resmî Gazete’de yayımlanan 2021/1 sayılı Kamu İhale Tebliği ile güncellenen söz konusu parasal limit, 01/02/2021 – 31/01/2022 dönemini kapsamaktadır.</w:t>
      </w:r>
    </w:p>
  </w:footnote>
  <w:footnote w:id="3">
    <w:p w:rsidR="00B91C52" w:rsidRPr="00932017" w:rsidRDefault="00B91C52">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B91C52" w:rsidRDefault="00B91C52">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B91C52" w:rsidRDefault="00B91C52"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B91C52" w:rsidRPr="00CA3346" w:rsidRDefault="00B91C52"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B91C52" w:rsidRPr="00410D1F" w:rsidRDefault="00B91C52" w:rsidP="00220DC9">
      <w:pPr>
        <w:pStyle w:val="DipnotMetni"/>
        <w:jc w:val="both"/>
      </w:pPr>
      <w:r>
        <w:rPr>
          <w:rStyle w:val="DipnotBavurusu"/>
        </w:rPr>
        <w:footnoteRef/>
      </w:r>
      <w:r>
        <w:t xml:space="preserve"> 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düzenlemesinin yürürlüğü durdurulmuştur.</w:t>
      </w:r>
    </w:p>
    <w:p w:rsidR="00B91C52" w:rsidRPr="00410D1F" w:rsidRDefault="00B91C52">
      <w:pPr>
        <w:pStyle w:val="DipnotMetni"/>
      </w:pPr>
    </w:p>
  </w:footnote>
  <w:footnote w:id="8">
    <w:p w:rsidR="00B91C52" w:rsidRDefault="00B91C52">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B91C52" w:rsidRPr="00CA3346" w:rsidRDefault="00B91C52"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B91C52" w:rsidRPr="00CA3346" w:rsidRDefault="00B91C52" w:rsidP="0072018D">
      <w:pPr>
        <w:pStyle w:val="DipnotMetni"/>
        <w:jc w:val="both"/>
      </w:pPr>
    </w:p>
  </w:footnote>
  <w:footnote w:id="10">
    <w:p w:rsidR="00B91C52" w:rsidRPr="00CA3346" w:rsidRDefault="00B91C52"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EC2"/>
    <w:rsid w:val="000E4599"/>
    <w:rsid w:val="000E6C57"/>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C3B"/>
    <w:rsid w:val="00264353"/>
    <w:rsid w:val="0026667C"/>
    <w:rsid w:val="00267DE7"/>
    <w:rsid w:val="002700B6"/>
    <w:rsid w:val="00271FFF"/>
    <w:rsid w:val="00274270"/>
    <w:rsid w:val="00280390"/>
    <w:rsid w:val="00280F71"/>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D0334"/>
    <w:rsid w:val="002D08A7"/>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B2DA4"/>
    <w:rsid w:val="006B429E"/>
    <w:rsid w:val="006B65E0"/>
    <w:rsid w:val="006B7D0C"/>
    <w:rsid w:val="006C0D0F"/>
    <w:rsid w:val="006C1BBD"/>
    <w:rsid w:val="006C21EC"/>
    <w:rsid w:val="006C4A97"/>
    <w:rsid w:val="006C721B"/>
    <w:rsid w:val="006C7E6B"/>
    <w:rsid w:val="006D06FB"/>
    <w:rsid w:val="006D1540"/>
    <w:rsid w:val="006D55E1"/>
    <w:rsid w:val="006D62C8"/>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4A5"/>
    <w:rsid w:val="008275B6"/>
    <w:rsid w:val="008302C0"/>
    <w:rsid w:val="00835FF7"/>
    <w:rsid w:val="008417EB"/>
    <w:rsid w:val="00842615"/>
    <w:rsid w:val="008518E3"/>
    <w:rsid w:val="00855B9A"/>
    <w:rsid w:val="00856E10"/>
    <w:rsid w:val="008641C1"/>
    <w:rsid w:val="00864743"/>
    <w:rsid w:val="00866DE0"/>
    <w:rsid w:val="0087094B"/>
    <w:rsid w:val="008738AF"/>
    <w:rsid w:val="00873CC9"/>
    <w:rsid w:val="008754E8"/>
    <w:rsid w:val="008806FC"/>
    <w:rsid w:val="008817DB"/>
    <w:rsid w:val="00881C37"/>
    <w:rsid w:val="00881F43"/>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C6C"/>
    <w:rsid w:val="00C41803"/>
    <w:rsid w:val="00C44333"/>
    <w:rsid w:val="00C44AAB"/>
    <w:rsid w:val="00C465FA"/>
    <w:rsid w:val="00C467D2"/>
    <w:rsid w:val="00C46C83"/>
    <w:rsid w:val="00C50DAC"/>
    <w:rsid w:val="00C51CB0"/>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4B12"/>
    <w:rsid w:val="00E24E26"/>
    <w:rsid w:val="00E25CB0"/>
    <w:rsid w:val="00E26755"/>
    <w:rsid w:val="00E273C3"/>
    <w:rsid w:val="00E32D1A"/>
    <w:rsid w:val="00E32FD9"/>
    <w:rsid w:val="00E358DE"/>
    <w:rsid w:val="00E419AB"/>
    <w:rsid w:val="00E41EF4"/>
    <w:rsid w:val="00E44823"/>
    <w:rsid w:val="00E44D78"/>
    <w:rsid w:val="00E46291"/>
    <w:rsid w:val="00E46615"/>
    <w:rsid w:val="00E46F96"/>
    <w:rsid w:val="00E471C0"/>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260AC"/>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266DF4-F41F-41A5-86E4-9C650424C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75274</Words>
  <Characters>429065</Characters>
  <Application>Microsoft Office Word</Application>
  <DocSecurity>0</DocSecurity>
  <Lines>3575</Lines>
  <Paragraphs>1006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Harun Urul</cp:lastModifiedBy>
  <cp:revision>3</cp:revision>
  <cp:lastPrinted>2014-05-30T07:15:00Z</cp:lastPrinted>
  <dcterms:created xsi:type="dcterms:W3CDTF">2021-12-02T11:49:00Z</dcterms:created>
  <dcterms:modified xsi:type="dcterms:W3CDTF">2021-12-02T11:49:00Z</dcterms:modified>
</cp:coreProperties>
</file>